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1694"/>
        <w:gridCol w:w="1902"/>
        <w:gridCol w:w="1677"/>
        <w:gridCol w:w="2333"/>
      </w:tblGrid>
      <w:tr w:rsidR="00CD3B67" w:rsidRPr="00CD3B67" w:rsidTr="00CD3B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511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225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511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225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  <w:lang w:eastAsia="en-GB"/>
              </w:rPr>
              <w:t>What is it?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511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225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  <w:lang w:eastAsia="en-GB"/>
              </w:rPr>
              <w:t>What are the symptoms?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511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225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  <w:lang w:eastAsia="en-GB"/>
              </w:rPr>
              <w:t>What is the outlook?</w:t>
            </w:r>
            <w:r w:rsidRPr="00CD3B67"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6511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225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b/>
                <w:bCs/>
                <w:color w:val="FFFFFF"/>
                <w:sz w:val="19"/>
                <w:szCs w:val="19"/>
                <w:lang w:eastAsia="en-GB"/>
              </w:rPr>
              <w:t>What else should I know?</w:t>
            </w:r>
            <w:r w:rsidRPr="00CD3B67"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  <w:t xml:space="preserve"> </w:t>
            </w:r>
          </w:p>
        </w:tc>
      </w:tr>
      <w:tr w:rsidR="00CD3B67" w:rsidRPr="00CD3B67" w:rsidTr="00CD3B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A5A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225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proofErr w:type="spellStart"/>
            <w:r w:rsidRPr="00CD3B6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Oligoarthritis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225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The most common type – affects about two thirds of young people with arthritis. It's often mild.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Most commonly affects one or both knees.</w:t>
            </w:r>
          </w:p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Most likely type to cause eye inflammation (chronic anterior uveitis) – you'll need regular eye checks.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Most likely type to go away leaving little or no joint damage.</w:t>
            </w:r>
            <w:r w:rsidRPr="00CD3B67"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If you develop problems with five or more joints after six months, this is called extended </w:t>
            </w:r>
            <w:proofErr w:type="spellStart"/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oligoarthritis</w:t>
            </w:r>
            <w:proofErr w:type="spellEnd"/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. This can cause joint damage. Your doctor may suggest early treatment with drugs like methotrexate to keep the damage to a minimum.</w:t>
            </w:r>
          </w:p>
        </w:tc>
      </w:tr>
      <w:tr w:rsidR="00CD3B67" w:rsidRPr="00CD3B67" w:rsidTr="00CD3B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A5A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Polyarthritis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The second most common type of JIA.</w:t>
            </w: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 xml:space="preserve">It may come on suddenly or can </w:t>
            </w:r>
            <w:proofErr w:type="spellStart"/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steadlily</w:t>
            </w:r>
            <w:proofErr w:type="spellEnd"/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involve more joints over a period of months.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Painful swelling in fingers, toes, wrists, ankles, hips, knees, the neck and jaw </w:t>
            </w:r>
          </w:p>
          <w:p w:rsidR="00CD3B67" w:rsidRPr="00CD3B67" w:rsidRDefault="00CD3B67" w:rsidP="00CD3B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You may feel unwell and tired and occasionally develop a slight fever.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Symptoms may continue into adult life, but it can go into remission, where all the symptoms disappear.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A blood test will show whether a marker called rheumatoid factor is present in your blood.</w:t>
            </w:r>
          </w:p>
        </w:tc>
      </w:tr>
      <w:tr w:rsidR="00CD3B67" w:rsidRPr="00CD3B67" w:rsidTr="00CD3B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A5A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proofErr w:type="spellStart"/>
            <w:r w:rsidRPr="00CD3B6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Enthesitis</w:t>
            </w:r>
            <w:proofErr w:type="spellEnd"/>
            <w:r w:rsidRPr="00CD3B6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-related JIA</w:t>
            </w:r>
            <w:r w:rsidRPr="00CD3B67"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Affects the places where the tendons attach to the bone (</w:t>
            </w:r>
            <w:proofErr w:type="spellStart"/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entheses</w:t>
            </w:r>
            <w:proofErr w:type="spellEnd"/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), causing inflammation.</w:t>
            </w:r>
            <w:r w:rsidRPr="00CD3B67"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  <w:t xml:space="preserve"> </w:t>
            </w:r>
          </w:p>
          <w:p w:rsidR="00CD3B67" w:rsidRPr="00CD3B67" w:rsidRDefault="00CD3B67" w:rsidP="00CD3B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Often affects the joints of the leg and spine.</w:t>
            </w: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Associated with a red painful eye condition (acute uveitis).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You may develop stiffness in your neck and lower back in your teens.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There may be a family history of ankylosing spondylitis or inflammatory bowel disease because of a particular genetic marker called HLA-B27.</w:t>
            </w:r>
          </w:p>
        </w:tc>
      </w:tr>
      <w:tr w:rsidR="00CD3B67" w:rsidRPr="00CD3B67" w:rsidTr="00CD3B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A5A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Psoriatic arthritis</w:t>
            </w:r>
            <w:r w:rsidRPr="00CD3B67"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Psoriasis is a skin rash. A combination of joint pain and the rash is known as psoriatic arthritis.</w:t>
            </w: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Usually affects fingers and toes but may affect other joints too. </w:t>
            </w: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Joints may be affected before the psoriasis appears – your doctor may look closely at fingernails and toenails for early signs.</w:t>
            </w: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Uveitis is fairly common but it's the painless type that doesn't look red.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It’s difficult to predict, but between 30-40% have ongoing disease into adulthood.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24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Your doctor may ask if anyone else in your family has the condition. </w:t>
            </w:r>
          </w:p>
        </w:tc>
      </w:tr>
      <w:tr w:rsidR="00CD3B67" w:rsidRPr="00CD3B67" w:rsidTr="00CD3B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5A5A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GB"/>
              </w:rPr>
              <w:t>Systemic-onset JIA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Joint pain is part of a general illness involving a fever, tiredness, a rash, loss of weight and appetite.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Enlarged glands in your neck, under your arms and around your groin.</w:t>
            </w: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 xml:space="preserve">Your doctor may find your spleen and liver are enlarged, and, very </w:t>
            </w:r>
            <w:proofErr w:type="spellStart"/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lastRenderedPageBreak/>
              <w:t>occassionally</w:t>
            </w:r>
            <w:proofErr w:type="spellEnd"/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>, the covering of your heart is inflamed (pericarditis).</w:t>
            </w: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</w: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br/>
              <w:t>In the first few weeks there may be no sign of swollen joints, and the diagnosis may be uncertain.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lastRenderedPageBreak/>
              <w:t xml:space="preserve">Outlook can be difficult to predict but usually the fever and rash will settle, although the arthritis may continue for several years </w:t>
            </w: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lastRenderedPageBreak/>
              <w:t>before settling.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3B67" w:rsidRPr="00CD3B67" w:rsidRDefault="00CD3B67" w:rsidP="00CD3B67">
            <w:pPr>
              <w:spacing w:after="0" w:line="240" w:lineRule="auto"/>
              <w:rPr>
                <w:rFonts w:ascii="Arial" w:eastAsia="Times New Roman" w:hAnsi="Arial" w:cs="Arial"/>
                <w:color w:val="645E76"/>
                <w:sz w:val="19"/>
                <w:szCs w:val="19"/>
                <w:lang w:eastAsia="en-GB"/>
              </w:rPr>
            </w:pPr>
            <w:r w:rsidRPr="00CD3B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lastRenderedPageBreak/>
              <w:t>Lots of tests may be needed to confirm the diagnosis and this can be a worrying time.</w:t>
            </w:r>
          </w:p>
        </w:tc>
      </w:tr>
    </w:tbl>
    <w:p w:rsidR="001C0627" w:rsidRPr="001C0627" w:rsidRDefault="001C0627">
      <w:pPr>
        <w:rPr>
          <w:color w:val="00B050"/>
          <w:sz w:val="180"/>
        </w:rPr>
      </w:pPr>
      <w:bookmarkStart w:id="0" w:name="_GoBack"/>
      <w:bookmarkEnd w:id="0"/>
    </w:p>
    <w:sectPr w:rsidR="001C0627" w:rsidRPr="001C0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7D2"/>
    <w:multiLevelType w:val="multilevel"/>
    <w:tmpl w:val="EB36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12217"/>
    <w:multiLevelType w:val="multilevel"/>
    <w:tmpl w:val="2ABC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673E1"/>
    <w:multiLevelType w:val="multilevel"/>
    <w:tmpl w:val="855A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2E17CE"/>
    <w:multiLevelType w:val="multilevel"/>
    <w:tmpl w:val="FEA2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485016"/>
    <w:multiLevelType w:val="multilevel"/>
    <w:tmpl w:val="3D18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11CA8"/>
    <w:multiLevelType w:val="multilevel"/>
    <w:tmpl w:val="0A48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15560E"/>
    <w:multiLevelType w:val="multilevel"/>
    <w:tmpl w:val="5BB0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E6"/>
    <w:rsid w:val="001C0627"/>
    <w:rsid w:val="004E6A04"/>
    <w:rsid w:val="00755CDC"/>
    <w:rsid w:val="007D4BE6"/>
    <w:rsid w:val="00B64682"/>
    <w:rsid w:val="00C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5C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5CDC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333333"/>
      <w:sz w:val="41"/>
      <w:szCs w:val="41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5C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5CDC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color w:val="333333"/>
      <w:sz w:val="41"/>
      <w:szCs w:val="4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0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213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667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565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single" w:sz="6" w:space="24" w:color="E2E2E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78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2992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481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2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880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6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0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40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95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Jardine</dc:creator>
  <cp:lastModifiedBy>Ursula Jardine</cp:lastModifiedBy>
  <cp:revision>2</cp:revision>
  <dcterms:created xsi:type="dcterms:W3CDTF">2016-04-22T12:11:00Z</dcterms:created>
  <dcterms:modified xsi:type="dcterms:W3CDTF">2016-04-22T12:11:00Z</dcterms:modified>
</cp:coreProperties>
</file>